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F41ED8" w:rsidRDefault="00D933D6" w:rsidP="00226C3D">
      <w:pPr>
        <w:rPr>
          <w:sz w:val="16"/>
          <w:szCs w:val="16"/>
        </w:rPr>
      </w:pPr>
      <w:bookmarkStart w:id="0" w:name="_GoBack"/>
      <w:bookmarkEnd w:id="0"/>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Default="00F41ED8" w:rsidP="00027733">
            <w:pPr>
              <w:ind w:firstLine="0"/>
            </w:pPr>
          </w:p>
        </w:tc>
        <w:tc>
          <w:tcPr>
            <w:tcW w:w="2040" w:type="dxa"/>
          </w:tcPr>
          <w:p w:rsidR="00F41ED8" w:rsidRDefault="00F41ED8" w:rsidP="00027733">
            <w:pPr>
              <w:ind w:firstLine="0"/>
            </w:pPr>
          </w:p>
        </w:tc>
        <w:tc>
          <w:tcPr>
            <w:tcW w:w="2040" w:type="dxa"/>
          </w:tcPr>
          <w:p w:rsidR="00F41ED8" w:rsidRDefault="00F41ED8" w:rsidP="00027733">
            <w:pPr>
              <w:ind w:firstLine="0"/>
            </w:pP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Default="004F3679" w:rsidP="00027733">
            <w:pPr>
              <w:ind w:firstLine="0"/>
            </w:pPr>
            <w:r>
              <w:t>1</w:t>
            </w:r>
          </w:p>
        </w:tc>
        <w:tc>
          <w:tcPr>
            <w:tcW w:w="2040" w:type="dxa"/>
          </w:tcPr>
          <w:p w:rsidR="00F41ED8" w:rsidRDefault="004F3679" w:rsidP="00027733">
            <w:pPr>
              <w:ind w:firstLine="0"/>
            </w:pPr>
            <w:r>
              <w:t>1</w:t>
            </w:r>
          </w:p>
        </w:tc>
        <w:tc>
          <w:tcPr>
            <w:tcW w:w="2040" w:type="dxa"/>
          </w:tcPr>
          <w:p w:rsidR="00F41ED8" w:rsidRDefault="004F3679" w:rsidP="00027733">
            <w:pPr>
              <w:ind w:firstLine="0"/>
            </w:pPr>
            <w:r>
              <w:t>1</w:t>
            </w:r>
          </w:p>
        </w:tc>
      </w:tr>
      <w:tr w:rsidR="00F41ED8" w:rsidTr="00027733">
        <w:trPr>
          <w:trHeight w:hRule="exact" w:val="373"/>
        </w:trPr>
        <w:tc>
          <w:tcPr>
            <w:tcW w:w="4089" w:type="dxa"/>
          </w:tcPr>
          <w:p w:rsidR="00F41ED8" w:rsidRDefault="00226C3D" w:rsidP="00027733">
            <w:pPr>
              <w:ind w:firstLine="0"/>
            </w:pPr>
            <w:r>
              <w:t>Number of Full-Time Managers</w:t>
            </w:r>
          </w:p>
        </w:tc>
        <w:tc>
          <w:tcPr>
            <w:tcW w:w="1847" w:type="dxa"/>
          </w:tcPr>
          <w:p w:rsidR="00F41ED8" w:rsidRDefault="00F41ED8" w:rsidP="00027733">
            <w:pPr>
              <w:ind w:firstLine="0"/>
            </w:pPr>
          </w:p>
        </w:tc>
        <w:tc>
          <w:tcPr>
            <w:tcW w:w="2040" w:type="dxa"/>
          </w:tcPr>
          <w:p w:rsidR="00F41ED8" w:rsidRDefault="00F41ED8" w:rsidP="00027733">
            <w:pPr>
              <w:ind w:firstLine="0"/>
            </w:pPr>
          </w:p>
        </w:tc>
        <w:tc>
          <w:tcPr>
            <w:tcW w:w="2040" w:type="dxa"/>
          </w:tcPr>
          <w:p w:rsidR="00F41ED8" w:rsidRDefault="00F41ED8" w:rsidP="00027733">
            <w:pPr>
              <w:ind w:firstLine="0"/>
            </w:pPr>
          </w:p>
        </w:tc>
      </w:tr>
      <w:tr w:rsidR="00F41ED8" w:rsidTr="00027733">
        <w:trPr>
          <w:trHeight w:hRule="exact" w:val="373"/>
        </w:trPr>
        <w:tc>
          <w:tcPr>
            <w:tcW w:w="4089" w:type="dxa"/>
          </w:tcPr>
          <w:p w:rsidR="00F41ED8" w:rsidRDefault="00226C3D" w:rsidP="00027733">
            <w:pPr>
              <w:ind w:firstLine="0"/>
            </w:pPr>
            <w:r>
              <w:t>Number of Part-Time Classified</w:t>
            </w:r>
          </w:p>
        </w:tc>
        <w:tc>
          <w:tcPr>
            <w:tcW w:w="1847" w:type="dxa"/>
          </w:tcPr>
          <w:p w:rsidR="00F41ED8" w:rsidRDefault="00F41ED8" w:rsidP="00027733">
            <w:pPr>
              <w:ind w:firstLine="0"/>
            </w:pPr>
          </w:p>
        </w:tc>
        <w:tc>
          <w:tcPr>
            <w:tcW w:w="2040" w:type="dxa"/>
          </w:tcPr>
          <w:p w:rsidR="00F41ED8" w:rsidRDefault="00F41ED8" w:rsidP="00027733">
            <w:pPr>
              <w:ind w:firstLine="0"/>
            </w:pPr>
          </w:p>
        </w:tc>
        <w:tc>
          <w:tcPr>
            <w:tcW w:w="2040" w:type="dxa"/>
          </w:tcPr>
          <w:p w:rsidR="00F41ED8" w:rsidRDefault="00F41ED8" w:rsidP="00027733">
            <w:pPr>
              <w:ind w:firstLine="0"/>
            </w:pP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Pr>
          <w:p w:rsidR="00226C3D" w:rsidRDefault="00226C3D" w:rsidP="00027733">
            <w:pPr>
              <w:ind w:firstLine="0"/>
            </w:pP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Pr>
          <w:p w:rsidR="00226C3D" w:rsidRDefault="00226C3D" w:rsidP="00027733">
            <w:pPr>
              <w:ind w:firstLine="0"/>
            </w:pPr>
          </w:p>
        </w:tc>
      </w:tr>
      <w:tr w:rsidR="00226C3D" w:rsidTr="00027733">
        <w:trPr>
          <w:trHeight w:hRule="exact" w:val="373"/>
        </w:trPr>
        <w:tc>
          <w:tcPr>
            <w:tcW w:w="4089" w:type="dxa"/>
          </w:tcPr>
          <w:p w:rsidR="00226C3D" w:rsidRDefault="00226C3D" w:rsidP="00027733">
            <w:pPr>
              <w:ind w:firstLine="0"/>
            </w:pPr>
            <w:r>
              <w:t>Students Served Annually</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Borders>
              <w:bottom w:val="single" w:sz="4" w:space="0" w:color="auto"/>
            </w:tcBorders>
          </w:tcPr>
          <w:p w:rsidR="00226C3D" w:rsidRDefault="00226C3D" w:rsidP="00027733">
            <w:pPr>
              <w:ind w:firstLine="0"/>
            </w:pPr>
          </w:p>
        </w:tc>
      </w:tr>
      <w:tr w:rsidR="00226C3D" w:rsidTr="00027733">
        <w:trPr>
          <w:trHeight w:hRule="exact" w:val="373"/>
        </w:trPr>
        <w:tc>
          <w:tcPr>
            <w:tcW w:w="4089" w:type="dxa"/>
          </w:tcPr>
          <w:p w:rsidR="00226C3D" w:rsidRDefault="002351F5" w:rsidP="00027733">
            <w:pPr>
              <w:ind w:firstLine="0"/>
            </w:pPr>
            <w:r>
              <w:rPr>
                <w:noProof/>
              </w:rPr>
              <w:pict>
                <v:line id="Straight Connector 22" o:spid="_x0000_s1026" style="position:absolute;z-index:251681792;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226C3D">
              <w:t>Tot</w:t>
            </w:r>
            <w:r w:rsidR="00027733">
              <w:t>al</w:t>
            </w:r>
            <w:r w:rsidR="00226C3D">
              <w:t xml:space="preserve"> Non-Restricted Annual Budget</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Pr>
          <w:p w:rsidR="00226C3D" w:rsidRDefault="00226C3D" w:rsidP="00027733">
            <w:pPr>
              <w:ind w:firstLine="0"/>
            </w:pP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Ind w:w="1278" w:type="dxa"/>
        <w:tblCellMar>
          <w:top w:w="115" w:type="dxa"/>
          <w:left w:w="115" w:type="dxa"/>
          <w:right w:w="115" w:type="dxa"/>
        </w:tblCellMar>
        <w:tblLook w:val="04A0"/>
      </w:tblPr>
      <w:tblGrid>
        <w:gridCol w:w="11898"/>
      </w:tblGrid>
      <w:tr w:rsidR="00124AA7" w:rsidTr="004F3679">
        <w:tc>
          <w:tcPr>
            <w:tcW w:w="11898" w:type="dxa"/>
          </w:tcPr>
          <w:p w:rsidR="004F3679" w:rsidRDefault="004F3679" w:rsidP="004F3679">
            <w:pPr>
              <w:pStyle w:val="ListParagraph"/>
              <w:numPr>
                <w:ilvl w:val="0"/>
                <w:numId w:val="10"/>
              </w:numPr>
            </w:pPr>
            <w:r>
              <w:t xml:space="preserve">During the beginning of each semester, we field many requests for </w:t>
            </w:r>
            <w:proofErr w:type="gramStart"/>
            <w:r>
              <w:t>textbooks which</w:t>
            </w:r>
            <w:proofErr w:type="gramEnd"/>
            <w:r>
              <w:t xml:space="preserve"> may result in referral to the Reserved Textbook Collection or counseling on textbook options such as renting, digital, etc.</w:t>
            </w:r>
          </w:p>
          <w:p w:rsidR="004F3679" w:rsidRDefault="004F3679" w:rsidP="004F3679">
            <w:pPr>
              <w:pStyle w:val="ListParagraph"/>
              <w:numPr>
                <w:ilvl w:val="0"/>
                <w:numId w:val="10"/>
              </w:numPr>
            </w:pPr>
            <w:r>
              <w:t>During the first 8 weeks of each semester</w:t>
            </w:r>
            <w:proofErr w:type="gramStart"/>
            <w:r>
              <w:t>,  as</w:t>
            </w:r>
            <w:proofErr w:type="gramEnd"/>
            <w:r>
              <w:t xml:space="preserve"> many as 10 instructors invite the librarian to make a presentation in the classroom.  These presentations may be a simple introduction to the library, a full lesson on using the library databases, or a focused lesson on an information competency skill such as citing sources.</w:t>
            </w:r>
          </w:p>
          <w:p w:rsidR="004F3679" w:rsidRDefault="004F3679" w:rsidP="004F3679">
            <w:pPr>
              <w:pStyle w:val="ListParagraph"/>
              <w:numPr>
                <w:ilvl w:val="0"/>
                <w:numId w:val="10"/>
              </w:numPr>
            </w:pPr>
            <w:r>
              <w:t>From the 3</w:t>
            </w:r>
            <w:r w:rsidRPr="004F3679">
              <w:rPr>
                <w:vertAlign w:val="superscript"/>
              </w:rPr>
              <w:t>rd</w:t>
            </w:r>
            <w:r>
              <w:t xml:space="preserve"> to 15</w:t>
            </w:r>
            <w:r w:rsidRPr="004F3679">
              <w:rPr>
                <w:vertAlign w:val="superscript"/>
              </w:rPr>
              <w:t>th</w:t>
            </w:r>
            <w:r>
              <w:t xml:space="preserve"> week of the semester, the librarian assists students in use of library resources in person or by phone or email.</w:t>
            </w:r>
          </w:p>
          <w:p w:rsidR="004F3679" w:rsidRDefault="004F3679" w:rsidP="004F3679">
            <w:pPr>
              <w:pStyle w:val="ListParagraph"/>
              <w:numPr>
                <w:ilvl w:val="0"/>
                <w:numId w:val="10"/>
              </w:numPr>
            </w:pPr>
            <w:r>
              <w:t>The librarian develops guides, manuals, and other resources for students to use independently in order to develop information competency skills.</w:t>
            </w:r>
          </w:p>
          <w:p w:rsidR="004F3679" w:rsidRDefault="004F3679" w:rsidP="004F3679">
            <w:pPr>
              <w:pStyle w:val="ListParagraph"/>
              <w:numPr>
                <w:ilvl w:val="0"/>
                <w:numId w:val="10"/>
              </w:numPr>
            </w:pPr>
            <w:r>
              <w:t>The librarian develops embeddable learning objects for instructors to use in their lessons, course materials, or syllabus.</w:t>
            </w:r>
          </w:p>
          <w:p w:rsidR="004F3679" w:rsidRDefault="004F3679" w:rsidP="004F3679">
            <w:pPr>
              <w:pStyle w:val="ListParagraph"/>
              <w:numPr>
                <w:ilvl w:val="0"/>
                <w:numId w:val="10"/>
              </w:numPr>
            </w:pPr>
            <w:r>
              <w:t xml:space="preserve">The librarian trains and assists instructors in the use of Turnitin.com and its </w:t>
            </w:r>
            <w:proofErr w:type="spellStart"/>
            <w:r>
              <w:t>GradeMark</w:t>
            </w:r>
            <w:proofErr w:type="spellEnd"/>
            <w:r>
              <w:t xml:space="preserve"> program.</w:t>
            </w:r>
          </w:p>
          <w:p w:rsidR="00124AA7" w:rsidRDefault="00124AA7" w:rsidP="00124AA7">
            <w:pPr>
              <w:ind w:firstLine="0"/>
            </w:pPr>
          </w:p>
        </w:tc>
      </w:tr>
    </w:tbl>
    <w:p w:rsidR="00B16BAC" w:rsidRDefault="00B16BAC" w:rsidP="00124AA7">
      <w:pPr>
        <w:pStyle w:val="Heading3"/>
        <w:rPr>
          <w:sz w:val="18"/>
          <w:szCs w:val="18"/>
        </w:rPr>
      </w:pPr>
      <w:r>
        <w:rPr>
          <w:sz w:val="16"/>
          <w:szCs w:val="16"/>
        </w:rPr>
        <w:br w:type="page"/>
      </w:r>
      <w:r w:rsidR="009352C9">
        <w:rPr>
          <w:sz w:val="16"/>
          <w:szCs w:val="16"/>
        </w:rPr>
        <w:lastRenderedPageBreak/>
        <w:t xml:space="preserve">                          </w:t>
      </w:r>
      <w:r w:rsidR="009352C9">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p>
    <w:tbl>
      <w:tblPr>
        <w:tblStyle w:val="TableGrid"/>
        <w:tblW w:w="0" w:type="auto"/>
        <w:tblInd w:w="1800" w:type="dxa"/>
        <w:tblLook w:val="04A0"/>
      </w:tblPr>
      <w:tblGrid>
        <w:gridCol w:w="5678"/>
        <w:gridCol w:w="5698"/>
      </w:tblGrid>
      <w:tr w:rsidR="00124AA7" w:rsidTr="00124AA7">
        <w:tc>
          <w:tcPr>
            <w:tcW w:w="658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658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124AA7" w:rsidTr="00124AA7">
        <w:tc>
          <w:tcPr>
            <w:tcW w:w="6588" w:type="dxa"/>
          </w:tcPr>
          <w:p w:rsidR="00124AA7" w:rsidRDefault="00124AA7" w:rsidP="00124AA7">
            <w:pPr>
              <w:pStyle w:val="ListParagraph"/>
              <w:ind w:left="0" w:firstLine="0"/>
              <w:rPr>
                <w:rFonts w:asciiTheme="majorHAnsi" w:hAnsiTheme="majorHAnsi"/>
                <w:b/>
              </w:rPr>
            </w:pPr>
          </w:p>
        </w:tc>
        <w:tc>
          <w:tcPr>
            <w:tcW w:w="6588" w:type="dxa"/>
          </w:tcPr>
          <w:p w:rsidR="00124AA7" w:rsidRDefault="00124AA7" w:rsidP="00124AA7">
            <w:pPr>
              <w:pStyle w:val="ListParagraph"/>
              <w:ind w:left="0" w:firstLine="0"/>
              <w:rPr>
                <w:rFonts w:asciiTheme="majorHAnsi" w:hAnsiTheme="majorHAnsi"/>
                <w:b/>
              </w:rPr>
            </w:pPr>
          </w:p>
        </w:tc>
      </w:tr>
      <w:tr w:rsidR="0034604E" w:rsidTr="00124AA7">
        <w:tc>
          <w:tcPr>
            <w:tcW w:w="6588" w:type="dxa"/>
          </w:tcPr>
          <w:p w:rsidR="0034604E" w:rsidRDefault="0034604E" w:rsidP="00124AA7">
            <w:pPr>
              <w:pStyle w:val="ListParagraph"/>
              <w:ind w:left="0" w:firstLine="0"/>
              <w:rPr>
                <w:rFonts w:asciiTheme="majorHAnsi" w:hAnsiTheme="majorHAnsi"/>
                <w:b/>
              </w:rPr>
            </w:pPr>
          </w:p>
        </w:tc>
        <w:tc>
          <w:tcPr>
            <w:tcW w:w="6588" w:type="dxa"/>
          </w:tcPr>
          <w:p w:rsidR="0034604E" w:rsidRDefault="0034604E" w:rsidP="00124AA7">
            <w:pPr>
              <w:pStyle w:val="ListParagraph"/>
              <w:ind w:left="0" w:firstLine="0"/>
              <w:rPr>
                <w:rFonts w:asciiTheme="majorHAnsi" w:hAnsiTheme="majorHAnsi"/>
                <w:b/>
              </w:rPr>
            </w:pPr>
          </w:p>
        </w:tc>
      </w:tr>
      <w:tr w:rsidR="0034604E" w:rsidTr="00124AA7">
        <w:tc>
          <w:tcPr>
            <w:tcW w:w="6588" w:type="dxa"/>
          </w:tcPr>
          <w:p w:rsidR="0034604E" w:rsidRDefault="0034604E" w:rsidP="00124AA7">
            <w:pPr>
              <w:pStyle w:val="ListParagraph"/>
              <w:ind w:left="0" w:firstLine="0"/>
              <w:rPr>
                <w:rFonts w:asciiTheme="majorHAnsi" w:hAnsiTheme="majorHAnsi"/>
                <w:b/>
              </w:rPr>
            </w:pPr>
          </w:p>
        </w:tc>
        <w:tc>
          <w:tcPr>
            <w:tcW w:w="6588" w:type="dxa"/>
          </w:tcPr>
          <w:p w:rsidR="0034604E" w:rsidRDefault="0034604E" w:rsidP="00124AA7">
            <w:pPr>
              <w:pStyle w:val="ListParagraph"/>
              <w:ind w:left="0" w:firstLine="0"/>
              <w:rPr>
                <w:rFonts w:asciiTheme="majorHAnsi" w:hAnsiTheme="majorHAnsi"/>
                <w:b/>
              </w:rPr>
            </w:pPr>
          </w:p>
        </w:tc>
      </w:tr>
      <w:tr w:rsidR="00037376" w:rsidTr="00124AA7">
        <w:tc>
          <w:tcPr>
            <w:tcW w:w="6588" w:type="dxa"/>
          </w:tcPr>
          <w:p w:rsidR="00037376" w:rsidRDefault="00037376" w:rsidP="00124AA7">
            <w:pPr>
              <w:pStyle w:val="ListParagraph"/>
              <w:ind w:left="0" w:firstLine="0"/>
              <w:rPr>
                <w:rFonts w:asciiTheme="majorHAnsi" w:hAnsiTheme="majorHAnsi"/>
                <w:b/>
              </w:rPr>
            </w:pPr>
          </w:p>
        </w:tc>
        <w:tc>
          <w:tcPr>
            <w:tcW w:w="6588" w:type="dxa"/>
          </w:tcPr>
          <w:p w:rsidR="00037376" w:rsidRDefault="00037376" w:rsidP="00124AA7">
            <w:pPr>
              <w:pStyle w:val="ListParagraph"/>
              <w:ind w:left="0" w:firstLine="0"/>
              <w:rPr>
                <w:rFonts w:asciiTheme="majorHAnsi" w:hAnsiTheme="majorHAnsi"/>
                <w:b/>
              </w:rPr>
            </w:pPr>
          </w:p>
        </w:tc>
      </w:tr>
    </w:tbl>
    <w:p w:rsidR="00124AA7" w:rsidRDefault="00124AA7"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p>
    <w:tbl>
      <w:tblPr>
        <w:tblStyle w:val="TableGrid"/>
        <w:tblpPr w:leftFromText="180" w:rightFromText="180" w:vertAnchor="text" w:horzAnchor="margin" w:tblpX="-612" w:tblpY="101"/>
        <w:tblW w:w="14670" w:type="dxa"/>
        <w:tblLayout w:type="fixed"/>
        <w:tblCellMar>
          <w:top w:w="115" w:type="dxa"/>
          <w:left w:w="115" w:type="dxa"/>
          <w:bottom w:w="115" w:type="dxa"/>
          <w:right w:w="115" w:type="dxa"/>
        </w:tblCellMar>
        <w:tblLook w:val="04A0"/>
      </w:tblPr>
      <w:tblGrid>
        <w:gridCol w:w="5058"/>
        <w:gridCol w:w="5040"/>
        <w:gridCol w:w="4572"/>
      </w:tblGrid>
      <w:tr w:rsidR="00CF6AE9" w:rsidTr="004F3679">
        <w:trPr>
          <w:trHeight w:val="504"/>
        </w:trPr>
        <w:tc>
          <w:tcPr>
            <w:tcW w:w="5058" w:type="dxa"/>
            <w:vAlign w:val="center"/>
          </w:tcPr>
          <w:p w:rsidR="00CF6AE9" w:rsidRPr="0020697E" w:rsidRDefault="00CF6AE9" w:rsidP="000872BB">
            <w:pPr>
              <w:ind w:firstLine="0"/>
              <w:jc w:val="center"/>
              <w:rPr>
                <w:b/>
                <w:sz w:val="18"/>
                <w:szCs w:val="18"/>
              </w:rPr>
            </w:pPr>
            <w:r>
              <w:rPr>
                <w:b/>
                <w:sz w:val="18"/>
                <w:szCs w:val="18"/>
              </w:rPr>
              <w:t>Student Learning/Service Area Outcomes</w:t>
            </w:r>
            <w:r w:rsidR="00B74F63">
              <w:rPr>
                <w:b/>
                <w:sz w:val="18"/>
                <w:szCs w:val="18"/>
              </w:rPr>
              <w:t xml:space="preserve"> Statements</w:t>
            </w:r>
          </w:p>
        </w:tc>
        <w:tc>
          <w:tcPr>
            <w:tcW w:w="5040" w:type="dxa"/>
            <w:vAlign w:val="center"/>
          </w:tcPr>
          <w:p w:rsidR="00CF6AE9" w:rsidRPr="0020697E" w:rsidRDefault="00CF6AE9" w:rsidP="000872BB">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0872BB">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CF6AE9" w:rsidTr="004F3679">
        <w:trPr>
          <w:trHeight w:val="504"/>
        </w:trPr>
        <w:tc>
          <w:tcPr>
            <w:tcW w:w="5058" w:type="dxa"/>
          </w:tcPr>
          <w:p w:rsidR="00CF6AE9" w:rsidRDefault="004F3679" w:rsidP="000872BB">
            <w:pPr>
              <w:ind w:firstLine="0"/>
            </w:pPr>
            <w:r>
              <w:t>Students will</w:t>
            </w:r>
            <w:r w:rsidRPr="007378D5">
              <w:rPr>
                <w:rFonts w:ascii="Arial" w:hAnsi="Arial" w:cs="Arial"/>
                <w:sz w:val="20"/>
                <w:szCs w:val="20"/>
              </w:rPr>
              <w:t xml:space="preserve"> demonstrate knowledge of the availability of textbooks in the Reserve Library.</w:t>
            </w:r>
          </w:p>
        </w:tc>
        <w:tc>
          <w:tcPr>
            <w:tcW w:w="5040" w:type="dxa"/>
          </w:tcPr>
          <w:p w:rsidR="00CF6AE9" w:rsidRDefault="004F3679" w:rsidP="000872BB">
            <w:pPr>
              <w:ind w:firstLine="0"/>
            </w:pPr>
            <w:proofErr w:type="gramStart"/>
            <w:r>
              <w:t>Improved marketing of the Reserved Textbook Collection, including a box in the printed schedule and posters throughout the learning centers.</w:t>
            </w:r>
            <w:proofErr w:type="gramEnd"/>
          </w:p>
        </w:tc>
        <w:tc>
          <w:tcPr>
            <w:tcW w:w="4572" w:type="dxa"/>
          </w:tcPr>
          <w:p w:rsidR="00CF6AE9" w:rsidRDefault="007A360F" w:rsidP="000872BB">
            <w:pPr>
              <w:ind w:firstLine="0"/>
            </w:pPr>
            <w:r>
              <w:t>SLO Survey data: 209 used; 233 heard of; 386 never heard of.</w:t>
            </w:r>
          </w:p>
        </w:tc>
      </w:tr>
      <w:tr w:rsidR="00CF6AE9" w:rsidTr="004F3679">
        <w:trPr>
          <w:trHeight w:val="504"/>
        </w:trPr>
        <w:tc>
          <w:tcPr>
            <w:tcW w:w="5058" w:type="dxa"/>
          </w:tcPr>
          <w:p w:rsidR="00CF6AE9" w:rsidRPr="004F3679" w:rsidRDefault="004F3679" w:rsidP="004F3679">
            <w:pPr>
              <w:autoSpaceDE w:val="0"/>
              <w:autoSpaceDN w:val="0"/>
              <w:adjustRightInd w:val="0"/>
              <w:spacing w:line="276" w:lineRule="auto"/>
              <w:ind w:firstLine="0"/>
              <w:contextualSpacing/>
              <w:rPr>
                <w:rFonts w:ascii="Arial" w:hAnsi="Arial" w:cs="Arial"/>
                <w:sz w:val="20"/>
                <w:szCs w:val="20"/>
              </w:rPr>
            </w:pPr>
            <w:r w:rsidRPr="004F3679">
              <w:rPr>
                <w:rFonts w:ascii="Arial" w:hAnsi="Arial" w:cs="Arial"/>
                <w:sz w:val="20"/>
                <w:szCs w:val="20"/>
              </w:rPr>
              <w:t>Students will demonstrate knowledge of the availability of a Virtual Library.</w:t>
            </w:r>
          </w:p>
        </w:tc>
        <w:tc>
          <w:tcPr>
            <w:tcW w:w="5040" w:type="dxa"/>
          </w:tcPr>
          <w:p w:rsidR="00CF6AE9" w:rsidRDefault="004F3679" w:rsidP="000872BB">
            <w:pPr>
              <w:ind w:firstLine="0"/>
            </w:pPr>
            <w:proofErr w:type="gramStart"/>
            <w:r>
              <w:t>Improved marketing of the Reserved Textbook Collection, including a box in the printed schedule and posters throughout the learning centers.</w:t>
            </w:r>
            <w:proofErr w:type="gramEnd"/>
          </w:p>
        </w:tc>
        <w:tc>
          <w:tcPr>
            <w:tcW w:w="4572" w:type="dxa"/>
          </w:tcPr>
          <w:p w:rsidR="00CF6AE9" w:rsidRDefault="007A360F" w:rsidP="000872BB">
            <w:pPr>
              <w:ind w:firstLine="0"/>
            </w:pPr>
            <w:r>
              <w:t>SLO Survey data: 320 used; 195 heard of; 310 never heard of.</w:t>
            </w:r>
          </w:p>
        </w:tc>
      </w:tr>
      <w:tr w:rsidR="00CF6AE9" w:rsidTr="004F3679">
        <w:trPr>
          <w:trHeight w:val="504"/>
        </w:trPr>
        <w:tc>
          <w:tcPr>
            <w:tcW w:w="5058" w:type="dxa"/>
          </w:tcPr>
          <w:p w:rsidR="00CF6AE9" w:rsidRPr="004F3679" w:rsidRDefault="004F3679" w:rsidP="004F3679">
            <w:pPr>
              <w:autoSpaceDE w:val="0"/>
              <w:autoSpaceDN w:val="0"/>
              <w:adjustRightInd w:val="0"/>
              <w:spacing w:line="276" w:lineRule="auto"/>
              <w:ind w:firstLine="0"/>
              <w:contextualSpacing/>
              <w:rPr>
                <w:rFonts w:ascii="Arial" w:hAnsi="Arial" w:cs="Arial"/>
                <w:sz w:val="20"/>
                <w:szCs w:val="20"/>
              </w:rPr>
            </w:pPr>
            <w:r w:rsidRPr="004F3679">
              <w:rPr>
                <w:rFonts w:ascii="Arial" w:hAnsi="Arial" w:cs="Arial"/>
                <w:sz w:val="20"/>
                <w:szCs w:val="20"/>
              </w:rPr>
              <w:t xml:space="preserve">Students will demonstrate knowledge of the availability of “Ask the Librarian.” </w:t>
            </w:r>
          </w:p>
        </w:tc>
        <w:tc>
          <w:tcPr>
            <w:tcW w:w="5040" w:type="dxa"/>
          </w:tcPr>
          <w:p w:rsidR="00CF6AE9" w:rsidRDefault="004F3679" w:rsidP="000872BB">
            <w:pPr>
              <w:ind w:firstLine="0"/>
            </w:pPr>
            <w:proofErr w:type="gramStart"/>
            <w:r>
              <w:t>Improved marketing of the Reserved Textbook Collection, including a box in the printed schedule and posters throughout the learning centers.</w:t>
            </w:r>
            <w:proofErr w:type="gramEnd"/>
          </w:p>
        </w:tc>
        <w:tc>
          <w:tcPr>
            <w:tcW w:w="4572" w:type="dxa"/>
          </w:tcPr>
          <w:p w:rsidR="00CF6AE9" w:rsidRDefault="004F3679" w:rsidP="000872BB">
            <w:pPr>
              <w:ind w:firstLine="0"/>
            </w:pPr>
            <w:r>
              <w:t>Survey and documentation of requests made</w:t>
            </w:r>
            <w:r w:rsidR="007A360F">
              <w:t xml:space="preserve"> through the “Ask the Librarian.”  SLO Survey data: 206 (25.8%) aware of “Ask the Librarian”</w:t>
            </w:r>
          </w:p>
        </w:tc>
      </w:tr>
    </w:tbl>
    <w:p w:rsidR="00037376" w:rsidRDefault="00037376" w:rsidP="00037376">
      <w:pPr>
        <w:ind w:left="720"/>
        <w:rPr>
          <w:rFonts w:asciiTheme="majorHAnsi" w:hAnsiTheme="majorHAnsi" w:cstheme="minorHAnsi"/>
          <w:b/>
        </w:rPr>
      </w:pPr>
      <w:r>
        <w:rPr>
          <w:rFonts w:asciiTheme="majorHAnsi" w:hAnsiTheme="majorHAnsi" w:cstheme="minorHAnsi"/>
          <w:b/>
        </w:rPr>
        <w:t xml:space="preserve">        </w:t>
      </w:r>
    </w:p>
    <w:p w:rsidR="004F3679" w:rsidRDefault="00CF6AE9" w:rsidP="00037376">
      <w:pPr>
        <w:ind w:left="720"/>
        <w:rPr>
          <w:rFonts w:asciiTheme="majorHAnsi" w:hAnsiTheme="majorHAnsi" w:cstheme="minorHAnsi"/>
          <w:b/>
        </w:rPr>
      </w:pPr>
      <w:r>
        <w:rPr>
          <w:rFonts w:asciiTheme="majorHAnsi" w:hAnsiTheme="majorHAnsi" w:cstheme="minorHAnsi"/>
          <w:b/>
        </w:rPr>
        <w:tab/>
      </w:r>
    </w:p>
    <w:p w:rsidR="004F3679" w:rsidRDefault="004F3679" w:rsidP="00037376">
      <w:pPr>
        <w:ind w:left="720"/>
        <w:rPr>
          <w:rFonts w:asciiTheme="majorHAnsi" w:hAnsiTheme="majorHAnsi" w:cstheme="minorHAnsi"/>
          <w:b/>
        </w:rPr>
      </w:pPr>
    </w:p>
    <w:p w:rsidR="00CF6AE9" w:rsidRDefault="00CF6AE9" w:rsidP="00037376">
      <w:pPr>
        <w:ind w:left="720"/>
        <w:rPr>
          <w:rFonts w:asciiTheme="majorHAnsi" w:hAnsiTheme="majorHAnsi" w:cstheme="minorHAnsi"/>
          <w:b/>
        </w:rPr>
      </w:pPr>
      <w:r>
        <w:rPr>
          <w:rFonts w:asciiTheme="majorHAnsi" w:hAnsiTheme="majorHAnsi" w:cstheme="minorHAnsi"/>
          <w:b/>
        </w:rPr>
        <w:t>Analysis of Progress on Outcomes</w:t>
      </w:r>
    </w:p>
    <w:tbl>
      <w:tblPr>
        <w:tblStyle w:val="TableGrid"/>
        <w:tblW w:w="0" w:type="auto"/>
        <w:tblInd w:w="720" w:type="dxa"/>
        <w:tblLook w:val="04A0"/>
      </w:tblPr>
      <w:tblGrid>
        <w:gridCol w:w="12456"/>
      </w:tblGrid>
      <w:tr w:rsidR="00CF6AE9" w:rsidTr="00CF6AE9">
        <w:tc>
          <w:tcPr>
            <w:tcW w:w="13176" w:type="dxa"/>
          </w:tcPr>
          <w:p w:rsidR="00CF6AE9" w:rsidRPr="008568C8" w:rsidRDefault="00CF6AE9" w:rsidP="00037376">
            <w:pPr>
              <w:ind w:firstLine="0"/>
              <w:rPr>
                <w:rFonts w:asciiTheme="majorHAnsi" w:hAnsiTheme="majorHAnsi" w:cstheme="minorHAnsi"/>
              </w:rPr>
            </w:pPr>
          </w:p>
          <w:p w:rsidR="00CF6AE9" w:rsidRPr="0077234F" w:rsidRDefault="007A360F" w:rsidP="00037376">
            <w:pPr>
              <w:ind w:firstLine="0"/>
              <w:rPr>
                <w:rFonts w:asciiTheme="majorHAnsi" w:hAnsiTheme="majorHAnsi" w:cstheme="minorHAnsi"/>
              </w:rPr>
            </w:pPr>
            <w:r>
              <w:rPr>
                <w:rFonts w:asciiTheme="majorHAnsi" w:hAnsiTheme="majorHAnsi" w:cstheme="minorHAnsi"/>
              </w:rPr>
              <w:t xml:space="preserve">The relatively high number of students who reported never hearing about the Reserve Textbook Collection, the Library, or the </w:t>
            </w:r>
            <w:r>
              <w:rPr>
                <w:rFonts w:asciiTheme="majorHAnsi" w:hAnsiTheme="majorHAnsi" w:cstheme="minorHAnsi"/>
              </w:rPr>
              <w:lastRenderedPageBreak/>
              <w:t xml:space="preserve">“Ask the Library” service suggests we have more work to do in promoting the Library, its resources, and its services.  </w:t>
            </w:r>
            <w:r w:rsidR="004F3679" w:rsidRPr="0077234F">
              <w:rPr>
                <w:rFonts w:asciiTheme="majorHAnsi" w:hAnsiTheme="majorHAnsi" w:cstheme="minorHAnsi"/>
              </w:rPr>
              <w:t xml:space="preserve">Posters </w:t>
            </w:r>
            <w:proofErr w:type="gramStart"/>
            <w:r w:rsidR="004F3679" w:rsidRPr="0077234F">
              <w:rPr>
                <w:rFonts w:asciiTheme="majorHAnsi" w:hAnsiTheme="majorHAnsi" w:cstheme="minorHAnsi"/>
              </w:rPr>
              <w:t>have been printed</w:t>
            </w:r>
            <w:proofErr w:type="gramEnd"/>
            <w:r w:rsidR="004F3679" w:rsidRPr="0077234F">
              <w:rPr>
                <w:rFonts w:asciiTheme="majorHAnsi" w:hAnsiTheme="majorHAnsi" w:cstheme="minorHAnsi"/>
              </w:rPr>
              <w:t xml:space="preserve"> and still need to be put up in all classrooms.  The Library flyer has received good feedback from students and instructors.</w:t>
            </w:r>
            <w:r w:rsidR="0077234F" w:rsidRPr="0077234F">
              <w:rPr>
                <w:rFonts w:asciiTheme="majorHAnsi" w:hAnsiTheme="majorHAnsi" w:cstheme="minorHAnsi"/>
              </w:rPr>
              <w:t xml:space="preserve">  The number of instructors requesting in-class library presentations is slowly creeping up.</w:t>
            </w:r>
          </w:p>
          <w:p w:rsidR="00CF6AE9" w:rsidRDefault="00CF6AE9" w:rsidP="00037376">
            <w:pPr>
              <w:ind w:firstLine="0"/>
              <w:rPr>
                <w:rFonts w:asciiTheme="majorHAnsi" w:hAnsiTheme="majorHAnsi" w:cstheme="minorHAnsi"/>
                <w:b/>
              </w:rPr>
            </w:pPr>
          </w:p>
        </w:tc>
      </w:tr>
    </w:tbl>
    <w:p w:rsidR="00CF6AE9" w:rsidRDefault="00CF6AE9" w:rsidP="00124AA7">
      <w:pPr>
        <w:pStyle w:val="ListParagraph"/>
        <w:ind w:left="1800" w:firstLine="0"/>
        <w:rPr>
          <w:rFonts w:asciiTheme="majorHAnsi" w:hAnsiTheme="majorHAnsi"/>
          <w:b/>
        </w:rPr>
      </w:pPr>
    </w:p>
    <w:p w:rsidR="009352C9" w:rsidRPr="00F41ED8" w:rsidRDefault="00037376" w:rsidP="00037376">
      <w:pPr>
        <w:pStyle w:val="ListParagraph"/>
        <w:numPr>
          <w:ilvl w:val="1"/>
          <w:numId w:val="1"/>
        </w:numPr>
        <w:rPr>
          <w:rFonts w:asciiTheme="majorHAnsi" w:hAnsiTheme="majorHAnsi"/>
          <w:b/>
        </w:rPr>
      </w:pPr>
      <w:r>
        <w:rPr>
          <w:rFonts w:asciiTheme="majorHAnsi" w:hAnsiTheme="majorHAnsi"/>
          <w:b/>
        </w:rPr>
        <w:t>Prog</w:t>
      </w:r>
      <w:r w:rsidR="00CF6AE9">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862"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Tr="0077234F">
        <w:trPr>
          <w:trHeight w:val="504"/>
        </w:trPr>
        <w:tc>
          <w:tcPr>
            <w:tcW w:w="4323" w:type="dxa"/>
          </w:tcPr>
          <w:p w:rsidR="00B21C37" w:rsidRDefault="0077234F" w:rsidP="00B34D38">
            <w:pPr>
              <w:ind w:firstLine="0"/>
            </w:pPr>
            <w:r>
              <w:t>Increase student use of library databases by 20% by spring 2016.</w:t>
            </w:r>
          </w:p>
        </w:tc>
        <w:tc>
          <w:tcPr>
            <w:tcW w:w="862" w:type="dxa"/>
            <w:vAlign w:val="center"/>
          </w:tcPr>
          <w:p w:rsidR="00B21C37" w:rsidRDefault="00B21C37" w:rsidP="0077234F">
            <w:pPr>
              <w:ind w:firstLine="0"/>
              <w:jc w:val="center"/>
            </w:pPr>
          </w:p>
        </w:tc>
        <w:tc>
          <w:tcPr>
            <w:tcW w:w="862" w:type="dxa"/>
            <w:vAlign w:val="center"/>
          </w:tcPr>
          <w:p w:rsidR="00B21C37" w:rsidRDefault="0077234F" w:rsidP="0077234F">
            <w:pPr>
              <w:ind w:firstLine="0"/>
              <w:jc w:val="center"/>
            </w:pPr>
            <w:r>
              <w:t>X</w:t>
            </w:r>
          </w:p>
        </w:tc>
        <w:tc>
          <w:tcPr>
            <w:tcW w:w="862" w:type="dxa"/>
            <w:vAlign w:val="center"/>
          </w:tcPr>
          <w:p w:rsidR="00B21C37" w:rsidRDefault="00B21C37" w:rsidP="0077234F">
            <w:pPr>
              <w:ind w:firstLine="0"/>
              <w:jc w:val="center"/>
            </w:pPr>
          </w:p>
        </w:tc>
        <w:tc>
          <w:tcPr>
            <w:tcW w:w="993" w:type="dxa"/>
            <w:vAlign w:val="center"/>
          </w:tcPr>
          <w:p w:rsidR="00B21C37" w:rsidRDefault="00B21C37" w:rsidP="0077234F">
            <w:pPr>
              <w:ind w:firstLine="0"/>
              <w:jc w:val="center"/>
            </w:pPr>
          </w:p>
        </w:tc>
        <w:tc>
          <w:tcPr>
            <w:tcW w:w="6768" w:type="dxa"/>
          </w:tcPr>
          <w:p w:rsidR="00B21C37" w:rsidRDefault="00764166" w:rsidP="00764166">
            <w:pPr>
              <w:ind w:firstLine="0"/>
            </w:pPr>
            <w:r>
              <w:t>This data is collected from the vendors and indicates slow but steady growth in use of databases.</w:t>
            </w:r>
          </w:p>
        </w:tc>
      </w:tr>
      <w:tr w:rsidR="00B21C37" w:rsidTr="0077234F">
        <w:trPr>
          <w:trHeight w:val="504"/>
        </w:trPr>
        <w:tc>
          <w:tcPr>
            <w:tcW w:w="4323" w:type="dxa"/>
          </w:tcPr>
          <w:p w:rsidR="00B21C37" w:rsidRDefault="0077234F" w:rsidP="00B34D38">
            <w:pPr>
              <w:ind w:firstLine="0"/>
            </w:pPr>
            <w:r>
              <w:t>Increase the number of student contacts through class visits and workshops by 15% and through reference interactions by 20% by spring 2016.</w:t>
            </w:r>
          </w:p>
        </w:tc>
        <w:tc>
          <w:tcPr>
            <w:tcW w:w="862" w:type="dxa"/>
            <w:vAlign w:val="center"/>
          </w:tcPr>
          <w:p w:rsidR="00B21C37" w:rsidRDefault="00B21C37" w:rsidP="0077234F">
            <w:pPr>
              <w:ind w:firstLine="0"/>
              <w:jc w:val="center"/>
            </w:pPr>
          </w:p>
        </w:tc>
        <w:tc>
          <w:tcPr>
            <w:tcW w:w="862" w:type="dxa"/>
            <w:vAlign w:val="center"/>
          </w:tcPr>
          <w:p w:rsidR="00B21C37" w:rsidRDefault="0077234F" w:rsidP="0077234F">
            <w:pPr>
              <w:ind w:firstLine="0"/>
              <w:jc w:val="center"/>
            </w:pPr>
            <w:r>
              <w:t>X</w:t>
            </w:r>
          </w:p>
        </w:tc>
        <w:tc>
          <w:tcPr>
            <w:tcW w:w="862" w:type="dxa"/>
            <w:vAlign w:val="center"/>
          </w:tcPr>
          <w:p w:rsidR="00B21C37" w:rsidRDefault="00B21C37" w:rsidP="0077234F">
            <w:pPr>
              <w:ind w:firstLine="0"/>
              <w:jc w:val="center"/>
            </w:pPr>
          </w:p>
        </w:tc>
        <w:tc>
          <w:tcPr>
            <w:tcW w:w="993" w:type="dxa"/>
            <w:vAlign w:val="center"/>
          </w:tcPr>
          <w:p w:rsidR="00B21C37" w:rsidRDefault="00B21C37" w:rsidP="0077234F">
            <w:pPr>
              <w:ind w:firstLine="0"/>
              <w:jc w:val="center"/>
            </w:pPr>
          </w:p>
        </w:tc>
        <w:tc>
          <w:tcPr>
            <w:tcW w:w="6768" w:type="dxa"/>
          </w:tcPr>
          <w:p w:rsidR="00B21C37" w:rsidRDefault="00764166" w:rsidP="00B34D38">
            <w:pPr>
              <w:ind w:firstLine="0"/>
            </w:pPr>
            <w:r>
              <w:t xml:space="preserve">This data is collected manually and </w:t>
            </w:r>
            <w:proofErr w:type="gramStart"/>
            <w:r>
              <w:t>has been tracked</w:t>
            </w:r>
            <w:proofErr w:type="gramEnd"/>
            <w:r>
              <w:t xml:space="preserve"> since the inception of the library.  Numbers were steadily growing until the recession and are now beginning to crawl upwards again.</w:t>
            </w:r>
          </w:p>
        </w:tc>
      </w:tr>
      <w:tr w:rsidR="00B21C37" w:rsidTr="0077234F">
        <w:trPr>
          <w:trHeight w:val="504"/>
        </w:trPr>
        <w:tc>
          <w:tcPr>
            <w:tcW w:w="4323" w:type="dxa"/>
          </w:tcPr>
          <w:p w:rsidR="00B21C37" w:rsidRDefault="0077234F" w:rsidP="00B34D38">
            <w:pPr>
              <w:ind w:firstLine="0"/>
            </w:pPr>
            <w:r>
              <w:t>Library Science C110 will improve its retention rate by 50% and its success rate by 25% by spring 2016.</w:t>
            </w:r>
          </w:p>
        </w:tc>
        <w:tc>
          <w:tcPr>
            <w:tcW w:w="862" w:type="dxa"/>
            <w:vAlign w:val="center"/>
          </w:tcPr>
          <w:p w:rsidR="00B21C37" w:rsidRDefault="00B21C37" w:rsidP="0077234F">
            <w:pPr>
              <w:ind w:firstLine="0"/>
              <w:jc w:val="center"/>
            </w:pPr>
          </w:p>
        </w:tc>
        <w:tc>
          <w:tcPr>
            <w:tcW w:w="862" w:type="dxa"/>
            <w:vAlign w:val="center"/>
          </w:tcPr>
          <w:p w:rsidR="00B21C37" w:rsidRDefault="00B21C37" w:rsidP="0077234F">
            <w:pPr>
              <w:ind w:firstLine="0"/>
              <w:jc w:val="center"/>
            </w:pPr>
          </w:p>
        </w:tc>
        <w:tc>
          <w:tcPr>
            <w:tcW w:w="862" w:type="dxa"/>
            <w:vAlign w:val="center"/>
          </w:tcPr>
          <w:p w:rsidR="00B21C37" w:rsidRDefault="0077234F" w:rsidP="0077234F">
            <w:pPr>
              <w:ind w:firstLine="0"/>
              <w:jc w:val="center"/>
            </w:pPr>
            <w:r>
              <w:t>X</w:t>
            </w:r>
          </w:p>
        </w:tc>
        <w:tc>
          <w:tcPr>
            <w:tcW w:w="993" w:type="dxa"/>
            <w:vAlign w:val="center"/>
          </w:tcPr>
          <w:p w:rsidR="00B21C37" w:rsidRDefault="00B21C37" w:rsidP="0077234F">
            <w:pPr>
              <w:ind w:firstLine="0"/>
              <w:jc w:val="center"/>
            </w:pPr>
          </w:p>
        </w:tc>
        <w:tc>
          <w:tcPr>
            <w:tcW w:w="6768" w:type="dxa"/>
          </w:tcPr>
          <w:p w:rsidR="00B21C37" w:rsidRDefault="00764166" w:rsidP="00B34D38">
            <w:pPr>
              <w:ind w:firstLine="0"/>
            </w:pPr>
            <w:r>
              <w:t xml:space="preserve">The SLO data for Library Science C110 </w:t>
            </w:r>
            <w:proofErr w:type="gramStart"/>
            <w:r>
              <w:t>is reported</w:t>
            </w:r>
            <w:proofErr w:type="gramEnd"/>
            <w:r>
              <w:t xml:space="preserve"> on the academic AIP.  So far, the course is plagued with high non-performance rates.</w:t>
            </w:r>
          </w:p>
        </w:tc>
      </w:tr>
    </w:tbl>
    <w:p w:rsidR="00B16BAC" w:rsidRDefault="00B16BAC" w:rsidP="00B21C37">
      <w:pPr>
        <w:ind w:left="720"/>
        <w:rPr>
          <w:rFonts w:asciiTheme="majorHAnsi" w:hAnsiTheme="majorHAnsi" w:cstheme="minorHAnsi"/>
          <w:b/>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B026FA" w:rsidRDefault="0077234F" w:rsidP="00B21C37">
            <w:pPr>
              <w:ind w:firstLine="0"/>
              <w:rPr>
                <w:rFonts w:asciiTheme="majorHAnsi" w:hAnsiTheme="majorHAnsi"/>
              </w:rPr>
            </w:pPr>
            <w:r>
              <w:rPr>
                <w:rFonts w:asciiTheme="majorHAnsi" w:hAnsiTheme="majorHAnsi"/>
              </w:rPr>
              <w:t>As instructors give more research and/or library-based assignments, student use of library resources naturally goes up.  Focusing on faculty outreach is helping the Library to achieve its goals.  Consistent intentional data-collection is essential to document use.</w:t>
            </w:r>
          </w:p>
          <w:p w:rsidR="0077234F" w:rsidRDefault="0077234F" w:rsidP="00B21C37">
            <w:pPr>
              <w:ind w:firstLine="0"/>
              <w:rPr>
                <w:rFonts w:asciiTheme="majorHAnsi" w:hAnsiTheme="majorHAnsi"/>
              </w:rPr>
            </w:pPr>
          </w:p>
          <w:p w:rsidR="0077234F" w:rsidRPr="0077234F" w:rsidRDefault="0077234F" w:rsidP="00B21C37">
            <w:pPr>
              <w:ind w:firstLine="0"/>
              <w:rPr>
                <w:rFonts w:asciiTheme="majorHAnsi" w:hAnsiTheme="majorHAnsi"/>
              </w:rPr>
            </w:pPr>
            <w:proofErr w:type="gramStart"/>
            <w:r>
              <w:rPr>
                <w:rFonts w:asciiTheme="majorHAnsi" w:hAnsiTheme="majorHAnsi"/>
              </w:rPr>
              <w:t>Still working on improving Library Science C110.</w:t>
            </w:r>
            <w:proofErr w:type="gramEnd"/>
            <w:r>
              <w:rPr>
                <w:rFonts w:asciiTheme="majorHAnsi" w:hAnsiTheme="majorHAnsi"/>
              </w:rPr>
              <w:t xml:space="preserve">  Besides retention and success, it is imperative that enrollments increase.  The number of students who enroll but never complete an assignment or the Letter of Agreement continues to be over 50%.</w:t>
            </w:r>
          </w:p>
          <w:p w:rsidR="00B026FA" w:rsidRDefault="00B026FA" w:rsidP="00B21C37">
            <w:pPr>
              <w:ind w:firstLine="0"/>
              <w:rPr>
                <w:rFonts w:asciiTheme="majorHAnsi" w:hAnsiTheme="majorHAnsi"/>
                <w:b/>
              </w:rPr>
            </w:pPr>
          </w:p>
        </w:tc>
      </w:tr>
    </w:tbl>
    <w:p w:rsidR="0020697E" w:rsidRPr="00E63AF8" w:rsidRDefault="00CF6AE9" w:rsidP="00E63AF8">
      <w:pPr>
        <w:pStyle w:val="ListParagraph"/>
        <w:numPr>
          <w:ilvl w:val="1"/>
          <w:numId w:val="1"/>
        </w:numPr>
        <w:spacing w:line="276" w:lineRule="auto"/>
        <w:rPr>
          <w:rFonts w:asciiTheme="majorHAnsi" w:hAnsiTheme="majorHAnsi"/>
          <w:b/>
        </w:rPr>
      </w:pPr>
      <w:r w:rsidRPr="00E63AF8">
        <w:rPr>
          <w:rFonts w:asciiTheme="majorHAnsi" w:hAnsiTheme="majorHAnsi"/>
          <w:b/>
        </w:rPr>
        <w:t>N</w:t>
      </w:r>
      <w:r w:rsidR="0020697E" w:rsidRPr="00E63AF8">
        <w:rPr>
          <w:rFonts w:asciiTheme="majorHAnsi" w:hAnsiTheme="majorHAnsi"/>
          <w:b/>
        </w:rPr>
        <w:t>ew Annual Program/Department Goals</w:t>
      </w:r>
    </w:p>
    <w:tbl>
      <w:tblPr>
        <w:tblStyle w:val="TableGrid"/>
        <w:tblW w:w="14670" w:type="dxa"/>
        <w:tblInd w:w="-612" w:type="dxa"/>
        <w:tblLook w:val="04A0"/>
      </w:tblPr>
      <w:tblGrid>
        <w:gridCol w:w="6652"/>
        <w:gridCol w:w="998"/>
        <w:gridCol w:w="1136"/>
        <w:gridCol w:w="1024"/>
        <w:gridCol w:w="4860"/>
      </w:tblGrid>
      <w:tr w:rsidR="0020697E" w:rsidTr="008568C8">
        <w:tc>
          <w:tcPr>
            <w:tcW w:w="6652"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568C8">
        <w:tc>
          <w:tcPr>
            <w:tcW w:w="6652" w:type="dxa"/>
          </w:tcPr>
          <w:p w:rsidR="0020697E" w:rsidRDefault="0020697E" w:rsidP="00B21C37">
            <w:pPr>
              <w:ind w:firstLine="0"/>
              <w:rPr>
                <w:rFonts w:asciiTheme="majorHAnsi" w:hAnsiTheme="majorHAnsi"/>
                <w:b/>
              </w:rPr>
            </w:pPr>
          </w:p>
        </w:tc>
        <w:tc>
          <w:tcPr>
            <w:tcW w:w="998" w:type="dxa"/>
          </w:tcPr>
          <w:p w:rsidR="0020697E" w:rsidRDefault="0020697E" w:rsidP="00B21C37">
            <w:pPr>
              <w:ind w:firstLine="0"/>
              <w:rPr>
                <w:rFonts w:asciiTheme="majorHAnsi" w:hAnsiTheme="majorHAnsi"/>
                <w:b/>
              </w:rPr>
            </w:pPr>
          </w:p>
        </w:tc>
        <w:tc>
          <w:tcPr>
            <w:tcW w:w="1136" w:type="dxa"/>
          </w:tcPr>
          <w:p w:rsidR="0020697E" w:rsidRDefault="0020697E" w:rsidP="00B21C37">
            <w:pPr>
              <w:ind w:firstLine="0"/>
              <w:rPr>
                <w:rFonts w:asciiTheme="majorHAnsi" w:hAnsiTheme="majorHAnsi"/>
                <w:b/>
              </w:rPr>
            </w:pPr>
          </w:p>
        </w:tc>
        <w:tc>
          <w:tcPr>
            <w:tcW w:w="1024" w:type="dxa"/>
          </w:tcPr>
          <w:p w:rsidR="0020697E" w:rsidRDefault="0020697E" w:rsidP="00B21C37">
            <w:pPr>
              <w:ind w:firstLine="0"/>
              <w:rPr>
                <w:rFonts w:asciiTheme="majorHAnsi" w:hAnsiTheme="majorHAnsi"/>
                <w:b/>
              </w:rPr>
            </w:pPr>
          </w:p>
        </w:tc>
        <w:tc>
          <w:tcPr>
            <w:tcW w:w="4860" w:type="dxa"/>
          </w:tcPr>
          <w:p w:rsidR="0020697E" w:rsidRDefault="0020697E" w:rsidP="00B21C37">
            <w:pPr>
              <w:ind w:firstLine="0"/>
              <w:rPr>
                <w:rFonts w:asciiTheme="majorHAnsi" w:hAnsiTheme="majorHAnsi"/>
                <w:b/>
              </w:rPr>
            </w:pPr>
          </w:p>
        </w:tc>
      </w:tr>
    </w:tbl>
    <w:p w:rsidR="00CF6AE9" w:rsidRDefault="00CF6AE9" w:rsidP="00B21C37">
      <w:pPr>
        <w:ind w:left="720"/>
        <w:rPr>
          <w:rFonts w:asciiTheme="majorHAnsi" w:hAnsiTheme="majorHAnsi"/>
          <w:b/>
        </w:rPr>
      </w:pPr>
    </w:p>
    <w:p w:rsidR="00CF6AE9" w:rsidRDefault="00CF6AE9">
      <w:pPr>
        <w:spacing w:line="276" w:lineRule="auto"/>
        <w:ind w:firstLine="0"/>
        <w:rPr>
          <w:rFonts w:asciiTheme="majorHAnsi" w:hAnsiTheme="majorHAnsi"/>
          <w:b/>
        </w:rPr>
      </w:pPr>
    </w:p>
    <w:p w:rsidR="00B21C37" w:rsidRDefault="00B21C37" w:rsidP="00CF6AE9">
      <w:pPr>
        <w:pStyle w:val="Heading3"/>
        <w:numPr>
          <w:ilvl w:val="0"/>
          <w:numId w:val="1"/>
        </w:numPr>
        <w:rPr>
          <w:color w:val="auto"/>
          <w:sz w:val="28"/>
          <w:szCs w:val="28"/>
        </w:rPr>
      </w:pPr>
      <w:r w:rsidRPr="002C7F92">
        <w:rPr>
          <w:color w:val="auto"/>
          <w:sz w:val="28"/>
          <w:szCs w:val="28"/>
        </w:rPr>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3805D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805DD">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363" w:type="dxa"/>
            <w:vAlign w:val="center"/>
          </w:tcPr>
          <w:p w:rsidR="00B21C37" w:rsidRPr="00FB2802" w:rsidRDefault="00B21C37" w:rsidP="003805D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805D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805D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805D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805DD">
            <w:pPr>
              <w:ind w:firstLine="0"/>
              <w:jc w:val="center"/>
              <w:rPr>
                <w:b/>
                <w:sz w:val="20"/>
                <w:szCs w:val="20"/>
              </w:rPr>
            </w:pPr>
            <w:r w:rsidRPr="00FB2802">
              <w:rPr>
                <w:b/>
                <w:sz w:val="20"/>
                <w:szCs w:val="20"/>
              </w:rPr>
              <w:t>Potential Funding Source</w:t>
            </w: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Facilities</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Personnel</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Software</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Supplies</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Training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B21C37">
            <w:pPr>
              <w:ind w:firstLine="0"/>
              <w:jc w:val="center"/>
              <w:rPr>
                <w:sz w:val="18"/>
                <w:szCs w:val="18"/>
              </w:rPr>
            </w:pPr>
            <w:r w:rsidRPr="00805581">
              <w:rPr>
                <w:sz w:val="18"/>
                <w:szCs w:val="18"/>
              </w:rPr>
              <w:t>Other</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727BB4" w:rsidRDefault="00727BB4" w:rsidP="003805DD">
            <w:pPr>
              <w:ind w:firstLine="0"/>
            </w:pPr>
          </w:p>
        </w:tc>
      </w:tr>
    </w:tbl>
    <w:p w:rsidR="009352C9" w:rsidRDefault="00805581" w:rsidP="00805581">
      <w:pPr>
        <w:ind w:firstLine="0"/>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Pr>
          <w:sz w:val="18"/>
          <w:szCs w:val="18"/>
        </w:rPr>
        <w:t xml:space="preserve"> </w:t>
      </w:r>
      <w:r w:rsidR="00E5673A">
        <w:rPr>
          <w:sz w:val="18"/>
          <w:szCs w:val="18"/>
        </w:rPr>
        <w:t xml:space="preserve"> </w:t>
      </w:r>
      <w:r>
        <w:rPr>
          <w:sz w:val="18"/>
          <w:szCs w:val="18"/>
        </w:rPr>
        <w:t xml:space="preserve">**Prioritize the program’s resource needs with </w:t>
      </w:r>
      <w:proofErr w:type="gramStart"/>
      <w:r>
        <w:rPr>
          <w:sz w:val="18"/>
          <w:szCs w:val="18"/>
        </w:rPr>
        <w:t>1</w:t>
      </w:r>
      <w:proofErr w:type="gramEnd"/>
      <w:r>
        <w:rPr>
          <w:sz w:val="18"/>
          <w:szCs w:val="18"/>
        </w:rPr>
        <w:t xml:space="preserve"> being the most important and subsequent numbers being less urgent. </w:t>
      </w:r>
    </w:p>
    <w:sectPr w:rsidR="009352C9" w:rsidSect="00E5673A">
      <w:headerReference w:type="default" r:id="rId7"/>
      <w:footerReference w:type="default" r:id="rId8"/>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F7B" w:rsidRDefault="00754F7B" w:rsidP="00A27DD5">
      <w:pPr>
        <w:spacing w:after="0"/>
      </w:pPr>
      <w:r>
        <w:separator/>
      </w:r>
    </w:p>
  </w:endnote>
  <w:endnote w:type="continuationSeparator" w:id="0">
    <w:p w:rsidR="00754F7B" w:rsidRDefault="00754F7B"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BB0A45" w:rsidRDefault="002351F5">
        <w:pPr>
          <w:pStyle w:val="Footer"/>
          <w:jc w:val="right"/>
        </w:pPr>
        <w:r>
          <w:fldChar w:fldCharType="begin"/>
        </w:r>
        <w:r w:rsidR="00BB0A45">
          <w:instrText xml:space="preserve"> PAGE   \* MERGEFORMAT </w:instrText>
        </w:r>
        <w:r>
          <w:fldChar w:fldCharType="separate"/>
        </w:r>
        <w:r w:rsidR="006A4AC1">
          <w:rPr>
            <w:noProof/>
          </w:rPr>
          <w:t>1</w:t>
        </w:r>
        <w:r>
          <w:rPr>
            <w:noProof/>
          </w:rPr>
          <w:fldChar w:fldCharType="end"/>
        </w:r>
      </w:p>
    </w:sdtContent>
  </w:sdt>
  <w:p w:rsidR="00BB0A45" w:rsidRDefault="00BB0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F7B" w:rsidRDefault="00754F7B" w:rsidP="00A27DD5">
      <w:pPr>
        <w:spacing w:after="0"/>
      </w:pPr>
      <w:r>
        <w:separator/>
      </w:r>
    </w:p>
  </w:footnote>
  <w:footnote w:type="continuationSeparator" w:id="0">
    <w:p w:rsidR="00754F7B" w:rsidRDefault="00754F7B"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5" w:rsidRPr="001D5896" w:rsidRDefault="002351F5" w:rsidP="001D5896">
    <w:pPr>
      <w:pStyle w:val="Header"/>
      <w:rPr>
        <w:sz w:val="28"/>
        <w:szCs w:val="28"/>
      </w:rPr>
    </w:pPr>
    <w:r w:rsidRPr="002351F5">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A27DD5" w:rsidRDefault="00A27DD5" w:rsidP="00A27DD5">
                <w:pPr>
                  <w:pStyle w:val="NoSpacing"/>
                </w:pPr>
                <w:r w:rsidRPr="00A27DD5">
                  <w:t>Department/Division</w:t>
                </w:r>
                <w:r w:rsidR="003370F4">
                  <w:tab/>
                </w:r>
                <w:r w:rsidR="004F3679">
                  <w:t>Library</w:t>
                </w:r>
              </w:p>
              <w:p w:rsidR="00A27DD5" w:rsidRDefault="00A27DD5" w:rsidP="00A27DD5">
                <w:pPr>
                  <w:pStyle w:val="NoSpacing"/>
                </w:pPr>
              </w:p>
              <w:p w:rsidR="00A27DD5" w:rsidRDefault="00EE5DD0" w:rsidP="00A27DD5">
                <w:pPr>
                  <w:ind w:firstLine="0"/>
                </w:pPr>
                <w:r>
                  <w:t>Planning Year</w:t>
                </w:r>
                <w:r w:rsidR="003370F4">
                  <w:tab/>
                  <w:t xml:space="preserve"> 2013-14</w:t>
                </w:r>
              </w:p>
              <w:p w:rsidR="00A27DD5" w:rsidRDefault="00A27DD5"/>
            </w:txbxContent>
          </v:textbox>
        </v:shape>
      </w:pict>
    </w:r>
    <w:r w:rsidR="00A27DD5" w:rsidRPr="00D933D6">
      <w:rPr>
        <w:sz w:val="28"/>
        <w:szCs w:val="28"/>
      </w:rPr>
      <w:t>Coastline Community College</w:t>
    </w:r>
  </w:p>
  <w:p w:rsidR="00A27DD5" w:rsidRPr="00D933D6" w:rsidRDefault="00A27DD5" w:rsidP="00A27DD5">
    <w:pPr>
      <w:pStyle w:val="Header"/>
      <w:rPr>
        <w:sz w:val="28"/>
        <w:szCs w:val="28"/>
      </w:rPr>
    </w:pPr>
    <w:r w:rsidRPr="00D933D6">
      <w:rPr>
        <w:sz w:val="28"/>
        <w:szCs w:val="28"/>
      </w:rPr>
      <w:t>Annual Institutional Planning Report</w:t>
    </w:r>
  </w:p>
  <w:p w:rsidR="00A27DD5" w:rsidRDefault="00124AA7">
    <w:pPr>
      <w:pStyle w:val="Header"/>
      <w:rPr>
        <w:sz w:val="28"/>
        <w:szCs w:val="28"/>
      </w:rPr>
    </w:pPr>
    <w:r w:rsidRPr="00124AA7">
      <w:rPr>
        <w:sz w:val="28"/>
        <w:szCs w:val="28"/>
      </w:rPr>
      <w:t>Non-Instructional</w:t>
    </w:r>
  </w:p>
  <w:p w:rsidR="001D5896" w:rsidRDefault="001D5896">
    <w:pPr>
      <w:pStyle w:val="Header"/>
      <w:rPr>
        <w:sz w:val="28"/>
        <w:szCs w:val="28"/>
      </w:rPr>
    </w:pPr>
  </w:p>
  <w:p w:rsidR="00B026FA" w:rsidRPr="00124AA7" w:rsidRDefault="00B026FA">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41263"/>
    <w:multiLevelType w:val="hybridMultilevel"/>
    <w:tmpl w:val="AC2C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0"/>
  </w:num>
  <w:num w:numId="5">
    <w:abstractNumId w:val="7"/>
  </w:num>
  <w:num w:numId="6">
    <w:abstractNumId w:val="8"/>
  </w:num>
  <w:num w:numId="7">
    <w:abstractNumId w:val="4"/>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27733"/>
    <w:rsid w:val="00037376"/>
    <w:rsid w:val="00042365"/>
    <w:rsid w:val="00092C05"/>
    <w:rsid w:val="00096512"/>
    <w:rsid w:val="000D4535"/>
    <w:rsid w:val="00124AA7"/>
    <w:rsid w:val="00135926"/>
    <w:rsid w:val="001A1DF1"/>
    <w:rsid w:val="001D5896"/>
    <w:rsid w:val="001E7549"/>
    <w:rsid w:val="0020697E"/>
    <w:rsid w:val="00224C47"/>
    <w:rsid w:val="00226C3D"/>
    <w:rsid w:val="00232381"/>
    <w:rsid w:val="002351F5"/>
    <w:rsid w:val="00237533"/>
    <w:rsid w:val="00266479"/>
    <w:rsid w:val="002F5B04"/>
    <w:rsid w:val="00302D48"/>
    <w:rsid w:val="003172B1"/>
    <w:rsid w:val="003370F4"/>
    <w:rsid w:val="0034604E"/>
    <w:rsid w:val="00371AD5"/>
    <w:rsid w:val="00372EDD"/>
    <w:rsid w:val="00492DC8"/>
    <w:rsid w:val="004E6B43"/>
    <w:rsid w:val="004F3679"/>
    <w:rsid w:val="005C1A18"/>
    <w:rsid w:val="006A4AC1"/>
    <w:rsid w:val="006F4B48"/>
    <w:rsid w:val="00727BB4"/>
    <w:rsid w:val="00736DF1"/>
    <w:rsid w:val="00754F7B"/>
    <w:rsid w:val="00764166"/>
    <w:rsid w:val="0077234F"/>
    <w:rsid w:val="007A360F"/>
    <w:rsid w:val="007C5DEB"/>
    <w:rsid w:val="007D66FD"/>
    <w:rsid w:val="00805581"/>
    <w:rsid w:val="008568C8"/>
    <w:rsid w:val="0086674C"/>
    <w:rsid w:val="008E4F2B"/>
    <w:rsid w:val="009352C9"/>
    <w:rsid w:val="00946E93"/>
    <w:rsid w:val="0096309D"/>
    <w:rsid w:val="009D6D89"/>
    <w:rsid w:val="00A27DD5"/>
    <w:rsid w:val="00B026FA"/>
    <w:rsid w:val="00B07C08"/>
    <w:rsid w:val="00B16BAC"/>
    <w:rsid w:val="00B21C37"/>
    <w:rsid w:val="00B34D38"/>
    <w:rsid w:val="00B5330B"/>
    <w:rsid w:val="00B74F63"/>
    <w:rsid w:val="00BB0A45"/>
    <w:rsid w:val="00BD6CFE"/>
    <w:rsid w:val="00C17322"/>
    <w:rsid w:val="00CB05BD"/>
    <w:rsid w:val="00CF6AE9"/>
    <w:rsid w:val="00D109F6"/>
    <w:rsid w:val="00D23D47"/>
    <w:rsid w:val="00D933D6"/>
    <w:rsid w:val="00DA2306"/>
    <w:rsid w:val="00DA66D7"/>
    <w:rsid w:val="00DC71C9"/>
    <w:rsid w:val="00E5673A"/>
    <w:rsid w:val="00E63AF8"/>
    <w:rsid w:val="00E914C7"/>
    <w:rsid w:val="00EE5DD0"/>
    <w:rsid w:val="00F41ED8"/>
    <w:rsid w:val="00F6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2014-01-22T00:53:00Z</dcterms:created>
  <dcterms:modified xsi:type="dcterms:W3CDTF">2014-01-22T00:53:00Z</dcterms:modified>
</cp:coreProperties>
</file>